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40AF6236" w:rsidR="005F36F0" w:rsidRDefault="00EF4A9A">
      <w:pPr>
        <w:spacing w:after="120"/>
        <w:jc w:val="center"/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66CEAA52" wp14:editId="227A7945">
            <wp:simplePos x="0" y="0"/>
            <wp:positionH relativeFrom="column">
              <wp:posOffset>624205</wp:posOffset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Tight wrapText="bothSides">
              <wp:wrapPolygon edited="0">
                <wp:start x="0" y="0"/>
                <wp:lineTo x="0" y="20681"/>
                <wp:lineTo x="21012" y="20681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35E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F7635E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3232E03D" w:rsidR="005F36F0" w:rsidRDefault="00F7635E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EF4A9A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  <w:bookmarkStart w:id="0" w:name="_GoBack"/>
      <w:bookmarkEnd w:id="0"/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F7635E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F7635E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0072D76A" w:rsidR="005F36F0" w:rsidRDefault="00F7635E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11.º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F7635E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B8C05" w14:textId="77777777" w:rsidR="00F7635E" w:rsidRPr="00F7635E" w:rsidRDefault="00F7635E" w:rsidP="00F7635E">
            <w:pPr>
              <w:spacing w:after="0"/>
              <w:jc w:val="both"/>
              <w:rPr>
                <w:b/>
                <w:u w:val="single"/>
              </w:rPr>
            </w:pPr>
            <w:r w:rsidRPr="00F7635E">
              <w:rPr>
                <w:b/>
                <w:u w:val="single"/>
              </w:rPr>
              <w:t xml:space="preserve">A Civilização do amor </w:t>
            </w:r>
          </w:p>
          <w:p w14:paraId="2EF77881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Mobilizar conhecimentos sobre as tradições religiosas para constatar que a “regra de ouro” se encontra presente nas várias religiões; </w:t>
            </w:r>
            <w:r w:rsidRPr="00F7635E">
              <w:rPr>
                <w:b/>
                <w:bCs/>
              </w:rPr>
              <w:t>(D1)</w:t>
            </w:r>
          </w:p>
          <w:p w14:paraId="66D6BAC9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Valorizar o amor ao próximo, como princípio das relações interpessoais e como critério de ação das instituições prestadoras de cuidados à pessoa; </w:t>
            </w:r>
            <w:r w:rsidRPr="00F7635E">
              <w:rPr>
                <w:b/>
                <w:bCs/>
              </w:rPr>
              <w:t>(D1)</w:t>
            </w:r>
          </w:p>
          <w:p w14:paraId="56C8ADA0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Descrever, sucintamente, o percurso de elaboração da categoria “civilização do amor”;</w:t>
            </w:r>
            <w:r w:rsidRPr="00F7635E">
              <w:rPr>
                <w:b/>
                <w:bCs/>
              </w:rPr>
              <w:t xml:space="preserve"> (D2)</w:t>
            </w:r>
          </w:p>
          <w:p w14:paraId="6BB9AF96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Apresentar a mensagem bíblica acerca do amor como elemento constitutivo da proposta cristã para a civilização do amor;</w:t>
            </w:r>
            <w:r w:rsidRPr="00F7635E">
              <w:rPr>
                <w:b/>
                <w:bCs/>
              </w:rPr>
              <w:t xml:space="preserve"> (D2)</w:t>
            </w:r>
          </w:p>
          <w:p w14:paraId="4D91ECE0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Explicitar o conceito de civilização como cosmovisão e como cultura;</w:t>
            </w:r>
            <w:r w:rsidRPr="00F7635E">
              <w:rPr>
                <w:b/>
                <w:bCs/>
              </w:rPr>
              <w:t xml:space="preserve"> (D3)</w:t>
            </w:r>
          </w:p>
          <w:p w14:paraId="7239300E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Apresentar uma perspetiva sobre os princípios, valores e finalidades das grandes civilizações, a partir dos critérios de uma “civilização do amor” apresentados pelo pensamento cristão; </w:t>
            </w:r>
            <w:r w:rsidRPr="00F7635E">
              <w:rPr>
                <w:b/>
                <w:bCs/>
              </w:rPr>
              <w:t>(D3)</w:t>
            </w:r>
          </w:p>
          <w:p w14:paraId="16F56B65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Articular uma conceção do que é ser pessoa, segundo o personalismo cristão, com o que se entende ser a construção da civilização do amor;</w:t>
            </w:r>
            <w:r w:rsidRPr="00F7635E">
              <w:rPr>
                <w:b/>
                <w:bCs/>
              </w:rPr>
              <w:t xml:space="preserve"> (D3)</w:t>
            </w:r>
          </w:p>
          <w:p w14:paraId="6025C127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Argumentar sobre a importância do diálogo como suporte para a construção da paz, mobilizando conhecimentos sobre o contributo dos cristãos na promoção do diálogo à escala global; </w:t>
            </w:r>
            <w:r w:rsidRPr="00F7635E">
              <w:rPr>
                <w:b/>
                <w:bCs/>
              </w:rPr>
              <w:t>(D3)</w:t>
            </w:r>
          </w:p>
          <w:p w14:paraId="236FEF9A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Assumir-se promotor dos valores de uma civilização do amor, como sejam a verdade, a bondade, a justiça, a liberdade e a paz. </w:t>
            </w:r>
            <w:r w:rsidRPr="00F7635E">
              <w:rPr>
                <w:b/>
                <w:bCs/>
              </w:rPr>
              <w:t>(D3)</w:t>
            </w:r>
          </w:p>
          <w:p w14:paraId="1847B925" w14:textId="77777777" w:rsidR="00F7635E" w:rsidRPr="00F7635E" w:rsidRDefault="00F7635E" w:rsidP="00F7635E">
            <w:pPr>
              <w:spacing w:after="0"/>
              <w:jc w:val="both"/>
            </w:pPr>
          </w:p>
          <w:p w14:paraId="12967DE3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b/>
                <w:u w:val="single"/>
              </w:rPr>
              <w:t>Ciência e Religião</w:t>
            </w:r>
            <w:r w:rsidRPr="00F7635E">
              <w:t xml:space="preserve"> </w:t>
            </w:r>
          </w:p>
          <w:p w14:paraId="32681ED8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Reconhecer que, nas sociedades atuais, a ciência e a tecnologia interferem com partes essenciais da vida das pessoas; </w:t>
            </w:r>
            <w:r w:rsidRPr="00F7635E">
              <w:rPr>
                <w:b/>
                <w:bCs/>
              </w:rPr>
              <w:t>(D1)</w:t>
            </w:r>
          </w:p>
          <w:p w14:paraId="5F7412D8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Enunciar interrogações próprias do ser humano às quais a ciência não responde; </w:t>
            </w:r>
            <w:r w:rsidRPr="00F7635E">
              <w:rPr>
                <w:b/>
                <w:bCs/>
              </w:rPr>
              <w:t>(D1)</w:t>
            </w:r>
          </w:p>
          <w:p w14:paraId="0303C229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Entender os relatos bíblicos da criação como resposta à constante interrogação humana sobre a origem do universo, observando já neles uma certa coerência entre a fé religiosa das origens e o conhecimento dos desenvolvimentos evolucionistas; </w:t>
            </w:r>
            <w:r w:rsidRPr="00F7635E">
              <w:rPr>
                <w:b/>
                <w:bCs/>
              </w:rPr>
              <w:t>(D1)</w:t>
            </w:r>
          </w:p>
          <w:p w14:paraId="423C62A1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Articular ciência e teologia como domínios do saber autónomos, mas cooperantes e complementares;</w:t>
            </w:r>
            <w:r w:rsidRPr="00F7635E">
              <w:rPr>
                <w:b/>
                <w:bCs/>
              </w:rPr>
              <w:t xml:space="preserve"> (D1)</w:t>
            </w:r>
          </w:p>
          <w:p w14:paraId="21A09C20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Mobilizar conhecimentos de índole religiosa para o debate sobre questões suscitadas pelos saberes de outras disciplinas;</w:t>
            </w:r>
            <w:r w:rsidRPr="00F7635E">
              <w:rPr>
                <w:b/>
                <w:bCs/>
              </w:rPr>
              <w:t xml:space="preserve"> (D1)</w:t>
            </w:r>
          </w:p>
          <w:p w14:paraId="299235BE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Compreender o religioso como como resposta à procura de sentido da existência humana; </w:t>
            </w:r>
            <w:r w:rsidRPr="00F7635E">
              <w:rPr>
                <w:b/>
                <w:bCs/>
              </w:rPr>
              <w:t>(D2)</w:t>
            </w:r>
          </w:p>
          <w:p w14:paraId="692483C0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Diferenciar os âmbitos da ciência e da religião enquanto atividades que o ser humano desenvolve ao responder a diferentes necessidades; </w:t>
            </w:r>
            <w:r w:rsidRPr="00F7635E">
              <w:rPr>
                <w:b/>
                <w:bCs/>
              </w:rPr>
              <w:t>(D2)</w:t>
            </w:r>
          </w:p>
          <w:p w14:paraId="38DF52C3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Levantar questões sobre a manipulação da ciência para com a realidade quando a reduz a mero objeto de estudo para interesses particulares; </w:t>
            </w:r>
            <w:r w:rsidRPr="00F7635E">
              <w:rPr>
                <w:b/>
                <w:bCs/>
              </w:rPr>
              <w:t>(D3)</w:t>
            </w:r>
          </w:p>
          <w:p w14:paraId="6A76DFE6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>Reconhecer os limites que se colocam à investigação científica com base em critérios ético-morais assentes no princípio da dignidade de cada ser humano desde a sua conceção à morte natural;</w:t>
            </w:r>
            <w:r w:rsidRPr="00F7635E">
              <w:rPr>
                <w:b/>
                <w:bCs/>
              </w:rPr>
              <w:t xml:space="preserve"> (D3)</w:t>
            </w:r>
          </w:p>
          <w:p w14:paraId="6D786B52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Articular o pensamento cristão sobre a pessoa humana, enquanto ser único, livre, racional e espiritual, e o conhecimento oferecido pelas ciências; </w:t>
            </w:r>
          </w:p>
          <w:p w14:paraId="3FBA10CA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t xml:space="preserve">Distinguir, na aplicação das descobertas científicas, entre o que é tecnicamente possível e o eticamente aceitável. </w:t>
            </w:r>
            <w:r w:rsidRPr="00F7635E">
              <w:rPr>
                <w:b/>
                <w:bCs/>
              </w:rPr>
              <w:t>(D3)</w:t>
            </w:r>
          </w:p>
          <w:p w14:paraId="5D68CA64" w14:textId="77777777" w:rsidR="00F7635E" w:rsidRPr="00F7635E" w:rsidRDefault="00F7635E" w:rsidP="00F7635E">
            <w:pPr>
              <w:spacing w:after="0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F7635E">
              <w:rPr>
                <w:rFonts w:cs="Calibri"/>
                <w:b/>
                <w:sz w:val="24"/>
                <w:szCs w:val="24"/>
                <w:u w:val="single"/>
              </w:rPr>
              <w:t xml:space="preserve">Ética e economia </w:t>
            </w:r>
          </w:p>
          <w:p w14:paraId="182945E2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Compreender a ética do comportamento humano e os princípios morais reguladores da atividade económica;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026AA3A1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lastRenderedPageBreak/>
              <w:t>Reconhecer que a ética cristã defende a dignidade humana e a justiça social;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501417A0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Analisar as causas e as consequências dos atentados à dignidade do trabalho;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2DDB418D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Conhecer o Pensamento Social da Igreja sobre as questões económico-sociais;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F6E8255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Mobilizar critérios éticos perante a atividade publicitária;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5D8AD4FD" w14:textId="77777777" w:rsidR="00F7635E" w:rsidRPr="00F7635E" w:rsidRDefault="00F7635E" w:rsidP="00F7635E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F7635E">
              <w:rPr>
                <w:rFonts w:cs="Calibri"/>
                <w:sz w:val="24"/>
                <w:szCs w:val="24"/>
              </w:rPr>
              <w:t xml:space="preserve">Perceber a definição de economia e a finalidade da atividade económica; </w:t>
            </w:r>
          </w:p>
          <w:p w14:paraId="3219CD25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Identificar a relação entre a ética e a economia;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22DFD91D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>Perceber o valor do trabalho;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0098EAC1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Identificar causas da pobreza e das desigualdades sociais;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0572B0F4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Promover uma atitude de denúncia e de luta contra a pobreza e a injustiça;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1BFB3505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Valorizar a necessidade de globalização da solidariedade;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0F2DBE85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Apresentar a visão cristã da economia e da sociedade na opção pelos pobres e no cuidado da natureza;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68F2A342" w14:textId="77777777" w:rsidR="00F7635E" w:rsidRPr="00F7635E" w:rsidRDefault="00F7635E" w:rsidP="00F7635E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>Assumir compromissos em ordem à construção de uma economia mais justa.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31AD426F" w14:textId="3EF30757" w:rsidR="009912C4" w:rsidRDefault="009912C4" w:rsidP="00F7635E">
            <w:pPr>
              <w:spacing w:after="0"/>
              <w:jc w:val="both"/>
            </w:pP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F7635E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F7635E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F7635E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lastRenderedPageBreak/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785AF2" w14:paraId="615000DE" w14:textId="77777777" w:rsidTr="00926748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785AF2" w:rsidRDefault="00785AF2" w:rsidP="00785AF2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06054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Nível 5</w:t>
            </w:r>
          </w:p>
          <w:p w14:paraId="246C4BDC" w14:textId="77777777" w:rsidR="00785AF2" w:rsidRDefault="00785AF2" w:rsidP="00785AF2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(18  a  20)</w:t>
            </w:r>
          </w:p>
          <w:p w14:paraId="6A793877" w14:textId="1C9B228C" w:rsidR="00785AF2" w:rsidRDefault="00785AF2" w:rsidP="00785AF2">
            <w:pPr>
              <w:spacing w:before="120" w:after="120"/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                         </w:t>
            </w: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(Excelente)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1936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24440BDA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(15  a  17)</w:t>
            </w:r>
          </w:p>
          <w:p w14:paraId="47782557" w14:textId="61877EDD" w:rsidR="00785AF2" w:rsidRDefault="00785AF2" w:rsidP="00785AF2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527B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78D339C8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(10  a 14)</w:t>
            </w:r>
          </w:p>
          <w:p w14:paraId="673D5AF6" w14:textId="5A5CACA9" w:rsidR="00785AF2" w:rsidRDefault="00785AF2" w:rsidP="00785AF2">
            <w:pPr>
              <w:spacing w:before="120" w:after="120"/>
              <w:jc w:val="center"/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AA4119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4BC3A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 xml:space="preserve">Nível 2 </w:t>
            </w:r>
          </w:p>
          <w:p w14:paraId="57A5E78B" w14:textId="77777777" w:rsidR="00785AF2" w:rsidRPr="00AA4119" w:rsidRDefault="00785AF2" w:rsidP="00785AF2">
            <w:pPr>
              <w:widowControl w:val="0"/>
              <w:suppressAutoHyphens w:val="0"/>
              <w:autoSpaceDE w:val="0"/>
              <w:spacing w:before="26" w:after="0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(8  A  9)</w:t>
            </w:r>
          </w:p>
          <w:p w14:paraId="37D77FD6" w14:textId="12B09D9C" w:rsidR="00785AF2" w:rsidRDefault="00785AF2" w:rsidP="00785AF2">
            <w:pPr>
              <w:spacing w:before="120" w:after="120"/>
              <w:jc w:val="center"/>
            </w:pPr>
            <w:r w:rsidRPr="00AA4119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(Não Satisfaz)</w:t>
            </w:r>
          </w:p>
        </w:tc>
      </w:tr>
      <w:tr w:rsidR="00CF6CD9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CF6CD9" w:rsidRDefault="006238CB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CF6CD9" w:rsidRDefault="7684AC12" w:rsidP="00CF6CD9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D7C66" w14:textId="77777777" w:rsidR="00401491" w:rsidRDefault="00401491">
      <w:pPr>
        <w:spacing w:after="0"/>
      </w:pPr>
      <w:r>
        <w:separator/>
      </w:r>
    </w:p>
  </w:endnote>
  <w:endnote w:type="continuationSeparator" w:id="0">
    <w:p w14:paraId="05939795" w14:textId="77777777" w:rsidR="00401491" w:rsidRDefault="004014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5844D" w14:textId="77777777" w:rsidR="00401491" w:rsidRDefault="0040149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40C9207" w14:textId="77777777" w:rsidR="00401491" w:rsidRDefault="0040149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0539FC"/>
    <w:rsid w:val="00130704"/>
    <w:rsid w:val="001A46CF"/>
    <w:rsid w:val="00401491"/>
    <w:rsid w:val="00556D23"/>
    <w:rsid w:val="005F36F0"/>
    <w:rsid w:val="006238CB"/>
    <w:rsid w:val="0062484A"/>
    <w:rsid w:val="006D285B"/>
    <w:rsid w:val="00722162"/>
    <w:rsid w:val="00785AF2"/>
    <w:rsid w:val="007D5AD5"/>
    <w:rsid w:val="009912C4"/>
    <w:rsid w:val="00A02A53"/>
    <w:rsid w:val="00A55F82"/>
    <w:rsid w:val="00AF5D51"/>
    <w:rsid w:val="00BA519A"/>
    <w:rsid w:val="00CF6CD9"/>
    <w:rsid w:val="00D625D2"/>
    <w:rsid w:val="00E00812"/>
    <w:rsid w:val="00EC0FED"/>
    <w:rsid w:val="00EF4A9A"/>
    <w:rsid w:val="00EF7221"/>
    <w:rsid w:val="00F309C5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02A53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F338A-CD98-4557-813E-27054AA166BD}"/>
</file>

<file path=customXml/itemProps2.xml><?xml version="1.0" encoding="utf-8"?>
<ds:datastoreItem xmlns:ds="http://schemas.openxmlformats.org/officeDocument/2006/customXml" ds:itemID="{02BC4D5B-9F7E-4C1D-A3F9-8F1E4743C0EE}"/>
</file>

<file path=customXml/itemProps3.xml><?xml version="1.0" encoding="utf-8"?>
<ds:datastoreItem xmlns:ds="http://schemas.openxmlformats.org/officeDocument/2006/customXml" ds:itemID="{5D9EA096-26DD-43DD-A4C4-88B4A807C6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2237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3</cp:revision>
  <dcterms:created xsi:type="dcterms:W3CDTF">2023-09-18T15:51:00Z</dcterms:created>
  <dcterms:modified xsi:type="dcterms:W3CDTF">2024-09-10T21:39:00Z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